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972" w:tblpY="4538"/>
        <w:tblOverlap w:val="never"/>
        <w:tblW w:w="89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1568"/>
        <w:gridCol w:w="4937"/>
        <w:gridCol w:w="722"/>
        <w:gridCol w:w="1225"/>
      </w:tblGrid>
      <w:tr w14:paraId="2993D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59B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7CD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825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601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44D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4B1086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1D07B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131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C93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MTHFR C677T基因多态性检测试剂盒(荧光探针法）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F62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1.外观：反应液应为无色澄清液体；质控品应为无色澄清液体；</w:t>
            </w:r>
          </w:p>
          <w:p w14:paraId="5ED378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★2. 准确性：检测结果准确率达99%以上</w:t>
            </w:r>
          </w:p>
          <w:p w14:paraId="0D009A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3.取样至出报告全过程：≤1小时  </w:t>
            </w:r>
          </w:p>
          <w:p w14:paraId="753DA5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4.要求为三类试剂、保质期12个月</w:t>
            </w:r>
          </w:p>
          <w:p w14:paraId="744A76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★5.用途：用于检测样本中的MTHFR(c.C677T）基因多态性。</w:t>
            </w:r>
          </w:p>
          <w:p w14:paraId="30D347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6.加样方式：直接加样，无需二次处理</w:t>
            </w:r>
          </w:p>
          <w:p w14:paraId="23ADFE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7.采样方式：能满足无创采样 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499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3DD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</w:tr>
      <w:tr w14:paraId="61561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C00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4A2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CYP2C19基因多态性检测试剂盒(荧光探针法）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255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1、外观：外包装盒应完好无损，印刷文字和图案正确；喷码的产品批号、有效期应正确无误。标签应清晰、易识别；试剂组分应为无色透明液体，无悬浮物及沉淀物，无杂质；</w:t>
            </w:r>
          </w:p>
          <w:p w14:paraId="2CC75C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2、要求为三类试剂、保质期12个月</w:t>
            </w:r>
          </w:p>
          <w:p w14:paraId="5AD00B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★3、用途：用于检测样本中的 CYP2C19*2（c.G681A）及*3（c.G636A）基因多态性</w:t>
            </w:r>
          </w:p>
          <w:p w14:paraId="72B446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★4、准确性：检测结果准确率达99%以上</w:t>
            </w:r>
          </w:p>
          <w:p w14:paraId="28011F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 xml:space="preserve">5、取样至出报告全过程：≤1小时 </w:t>
            </w:r>
          </w:p>
          <w:p w14:paraId="7D07CF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 xml:space="preserve">6、加样方式：直接加样，无需二次处理 </w:t>
            </w:r>
          </w:p>
          <w:p w14:paraId="2FE21B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 xml:space="preserve">7.采样方式：能满足无创采样 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404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F3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</w:tr>
      <w:tr w14:paraId="0AA83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4BD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06F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ALDH2基因多态性检测试剂盒(荧光探针法）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65E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外观：反应液应为无色澄清液体;质控品应为无色澄清液体；</w:t>
            </w:r>
          </w:p>
          <w:p w14:paraId="62C90A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2、要求为三类试剂、保质期12个月；</w:t>
            </w:r>
          </w:p>
          <w:p w14:paraId="31E44C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★3、用途：用于检测样本中的ALDH2*2 (c.G1510A)基因多态性；</w:t>
            </w:r>
          </w:p>
          <w:p w14:paraId="1FAEB8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★4、准确性：检测结果准确率达99%以上</w:t>
            </w:r>
          </w:p>
          <w:p w14:paraId="041033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 xml:space="preserve">5、取样至出报告全过程：≤1小时 </w:t>
            </w:r>
          </w:p>
          <w:p w14:paraId="3185D5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 xml:space="preserve">6、加样方式：直接加样，无需二次处理 </w:t>
            </w:r>
          </w:p>
          <w:p w14:paraId="234A32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 xml:space="preserve">7.采样方式：能满足无创采样 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78E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316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</w:tr>
    </w:tbl>
    <w:p w14:paraId="78076732">
      <w:pPr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标段十四：</w:t>
      </w:r>
      <w:bookmarkStart w:id="0" w:name="_GoBack"/>
      <w:bookmarkEnd w:id="0"/>
    </w:p>
    <w:p w14:paraId="2550B504">
      <w:pPr>
        <w:spacing w:line="360" w:lineRule="auto"/>
        <w:rPr>
          <w:rFonts w:hint="default" w:ascii="Times New Roman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基因多态性检测试剂盒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等</w:t>
      </w:r>
    </w:p>
    <w:p w14:paraId="4B3DB004">
      <w:pPr>
        <w:spacing w:line="360" w:lineRule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使用科室：神内科</w:t>
      </w:r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005BC443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附件：</w:t>
      </w:r>
    </w:p>
    <w:p w14:paraId="5BEE1A1C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备注：“★”核心参数，为必须满足参数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若有任何一条负偏离或不满足则导致投标无效；</w:t>
      </w:r>
    </w:p>
    <w:p w14:paraId="2D1768D8"/>
    <w:sectPr>
      <w:pgSz w:w="11906" w:h="16838"/>
      <w:pgMar w:top="1440" w:right="1800" w:bottom="2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1E01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892DA9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6601E01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2E48C3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629</Words>
  <Characters>719</Characters>
  <Lines>0</Lines>
  <Paragraphs>0</Paragraphs>
  <TotalTime>1</TotalTime>
  <ScaleCrop>false</ScaleCrop>
  <LinksUpToDate>false</LinksUpToDate>
  <CharactersWithSpaces>732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2026-08-05T07:43:00Z</dcterms:created>
  <dc:creator>罗超</dc:creator>
  <cp:lastModifiedBy>罗超</cp:lastModifiedBy>
  <dcterms:modified xsi:type="dcterms:W3CDTF">2026-08-07T05:34:10Z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5BB51A3CE0854B3690B684F9D160D4E5_11</vt:lpwstr>
  </property>
  <property fmtid="{D5CDD505-2E9C-101B-9397-08002B2CF9AE}" pid="4" name="KSOTemplateDocerSaveRecord">
    <vt:lpwstr>eyJoZGlkIjoiZDc1YzZkNmY5NzMxYjFjYjJkNTI4MDE3NWM4OWM4OWYiLCJ1c2VySWQiOiI1Njg2OTg3NTcifQ==</vt:lpwstr>
  </property>
</Properties>
</file>