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7968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2212C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58"/>
        <w:gridCol w:w="1125"/>
        <w:gridCol w:w="3090"/>
        <w:gridCol w:w="825"/>
        <w:gridCol w:w="1035"/>
        <w:gridCol w:w="750"/>
      </w:tblGrid>
      <w:tr w14:paraId="6E4D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6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36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  <w:p w14:paraId="294B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E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增强显影设计，取样饱满23G针体，8cm/6cm工作长度，两根穿刺针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F1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0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5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增强显影设计，取样饱满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23G针体，7cm工作长度，三根穿刺针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3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0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C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99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超轻针体，重量＜50g，激发射程具备14-25㎜内多档可调，</w:t>
            </w:r>
          </w:p>
          <w:p w14:paraId="2F4DA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带有原位切割功能，同时具备半自动活检针和全自动活检针功能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1E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24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一次性使用穿刺活检针及附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E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6A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1.超轻针体，重量＜50g，激发射程具备14-25㎜内多档可调，带有原位切割功能，同时具备半自动活检针和全自动活检针功能，带有同轴针套件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67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A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7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10-25㎜无极可调取样射程，可单手操作，有安全锁设计.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F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48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3A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5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7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10-25㎜无极可调取样射程，可单手操作，有安全锁设计.带有同轴针套件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54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8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0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应满足适用于肝、肾、乳腺、甲状腺、前列腺、脾、淋巴结和各软组织瘤的组织活检，16G针体，1.2cm公分取样槽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7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59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B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5E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应满足适用于肝、肾、乳腺、甲状腺、前列腺、脾、淋巴结和各软组织瘤的组织活检，16G针体，1.2cm公分取样槽，带有同轴针套件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7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B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19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B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一次性使用乳腺穿刺定位针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E7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*规格：GW-Q 20-107，镍钛合金材质，一键释放导丝，20G针体，107cm长度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E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3E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一次性使用乳腺穿刺定位针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*规格：GW-QS 20-107,镍钛合金材质，一键释放导丝，20G针体，107cm长度，穿刺手柄可满足单手完成穿刺及导丝释放。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B0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导管鞘套件-加硬套管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导管鞘套件用于快速穿刺引流部位且可视性好。配有回声增强型穿刺针，鞘管头端带有不透射线标记。导管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与扩张器之间过渡平滑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CC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13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一次性使用穿刺活检针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1、应满足在 B 超或 X-线监视下直接经皮穿刺至预穿刺部位，由穿刺针后针座、穿刺针前针座、针管、内芯针、移动标识、护套管组成。</w:t>
            </w:r>
          </w:p>
          <w:p w14:paraId="2C6D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、针管外径23G，7cm工作长度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D8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一次性使用穿刺针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C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由外针座、外针管、内针杆、内针座，保护套和浮标组成.适用于对人体进行经皮穿刺（不包括腰椎、血管、脑室、骨骼）。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0D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固定器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E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旋转环内径应不超过规格尺寸的5%；胶贴持粘性应不大于2.5mm；剥离强度应≥1N/cm；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49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一次性使用同轴活检针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17G针体，15cm工作长度，用于建立穿刺通道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BC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E8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5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一次性使用无菌手术包 （定制）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由医用外科口罩、一次性使用无菌手术帽、手术衣、手术裤、腿套、手术洞巾、垫单、孔巾、包单、脱脂棉纱布块、纱布绷带、脱脂棉球、消毒棉球袋、手术刀片、橡胶外科手套、塑柄手术刀、麻醉杯 换药盘、换药碗等组成。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54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5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由引流袋、橡胶球、引流导管、接头、排气阀、夹子、防倒流装置、排水管和挂带等组成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E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9B67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E7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8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一次性使用引流导管及附件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由引流导管、扩张管、导引导丝、注射器、破皮刀、一次性使用连接管、蝶形夹、穿刺针、蓝空针、纱布、缝合线（带针）、贴膜、注射针、手套、消毒刷、中单、小单和洞巾等组成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99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一次性使用引流导管包-套装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5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带锁引流导管：规格8.5F及其他, 头端猪尾，带有导管固定系统、金属套管、可弯曲硬化套管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7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3615E1">
      <w:pPr>
        <w:jc w:val="left"/>
        <w:rPr>
          <w:color w:val="auto"/>
          <w:sz w:val="20"/>
          <w:szCs w:val="20"/>
        </w:rPr>
      </w:pPr>
    </w:p>
    <w:p w14:paraId="689FEC68">
      <w:pPr>
        <w:rPr>
          <w:color w:val="auto"/>
        </w:rPr>
      </w:pPr>
      <w:r>
        <w:rPr>
          <w:color w:val="auto"/>
        </w:rPr>
        <w:br w:type="page"/>
      </w:r>
    </w:p>
    <w:p w14:paraId="4363CF6A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B8FDA64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0CB0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FC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一次性使用无菌颅内穿刺引流装置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45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神经外科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0F9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0F07AC6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73F470D7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*1.引流专用器械，由基本配置器件和选用配置器件组成；选用配置器件包括备皮刀、缝合线、洞巾等。</w:t>
            </w:r>
          </w:p>
          <w:p w14:paraId="35E505B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2、针形盖钻的钻体应符合GB/T1220-2007中规定的医用不锈钢材料标准；</w:t>
            </w:r>
          </w:p>
          <w:p w14:paraId="07BA2C4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3、三通针体的针、冲洗器针管、侧孔给药器针管应符合 GB/T18457-2015制造医疗器械用不锈钢针管第3条材料中的规定；</w:t>
            </w:r>
          </w:p>
          <w:p w14:paraId="7D537905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4、引流管材质：聚氯乙烯；注塑零部件材质：高密度聚乙烯和聚丙烯；</w:t>
            </w:r>
          </w:p>
          <w:p w14:paraId="3CCB9E2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5、长度范围20mm至90mm（含两端限值）；</w:t>
            </w:r>
          </w:p>
          <w:p w14:paraId="0E71C7A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6、具有颅骨自锁功能；</w:t>
            </w:r>
          </w:p>
          <w:p w14:paraId="1EB09781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7、具有双通道，冲洗器进液通道，引流出液通道；</w:t>
            </w:r>
          </w:p>
          <w:p w14:paraId="161D6DA6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8、无需缝合即可固定血肿靶点。</w:t>
            </w:r>
          </w:p>
          <w:p w14:paraId="5730EFF6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3122EEE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63629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2007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A3E057F">
      <w:pPr>
        <w:rPr>
          <w:color w:val="auto"/>
        </w:rPr>
      </w:pPr>
    </w:p>
    <w:p w14:paraId="552FFA6E">
      <w:pPr>
        <w:rPr>
          <w:color w:val="auto"/>
        </w:rPr>
      </w:pPr>
    </w:p>
    <w:p w14:paraId="17346601">
      <w:pPr>
        <w:rPr>
          <w:color w:val="auto"/>
        </w:rPr>
      </w:pPr>
    </w:p>
    <w:p w14:paraId="13BE8857">
      <w:pPr>
        <w:rPr>
          <w:color w:val="auto"/>
        </w:rPr>
      </w:pPr>
      <w:r>
        <w:rPr>
          <w:color w:val="auto"/>
        </w:rPr>
        <w:br w:type="page"/>
      </w:r>
    </w:p>
    <w:p w14:paraId="18A6E21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05B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产品名称：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便携式电动输液泵</w:t>
      </w:r>
    </w:p>
    <w:p w14:paraId="18FF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规格：160ml</w:t>
      </w:r>
    </w:p>
    <w:p w14:paraId="66DE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单价：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90元</w:t>
      </w:r>
    </w:p>
    <w:p w14:paraId="63CA9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一、基本参数</w:t>
      </w:r>
    </w:p>
    <w:p w14:paraId="58CD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疼痛管理信息系统基本要求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：</w:t>
      </w:r>
    </w:p>
    <w:p w14:paraId="3E369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软件具有独立著作权，系统管理终端设备是单独注册的三类医疗器械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支持院内WiFi，移动4G/5G无线通信模式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支持对接院内HIS、LIS、EMR、手术麻醉信息系统等医院管理系统，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数据信号发射器随泵一体，数据传输及时无丢包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。</w:t>
      </w:r>
    </w:p>
    <w:p w14:paraId="37021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疼痛管理信息系统软件功能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：</w:t>
      </w:r>
    </w:p>
    <w:p w14:paraId="16EFF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1）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有独立的产科分娩信息管理功能，进行围产期产妇疼痛和输液管理；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）分类别查看患者：医生只查看自己关联的患者，可通过科室、报警类型、住院号、术后天数分类查看患者；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）患者详细信息：镇痛泵输液正常、自控按压及报警数据，生理参数图表、疼痛情况；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）自动给药结束：设定条件，在患者输液结束后，患者移至历史列表；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）报警、提示：镇痛泵设备报警、输液即将结束提示、镇痛不足以及镇痛未按压提示、疼痛评分提示；</w:t>
      </w:r>
    </w:p>
    <w:p w14:paraId="33C38F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具有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疼痛评估模块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移动端术前访视、提供电子宣教；移动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端每日归纳需术后访视患者，定位访视范围，无泵患者亦可访视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等功能。</w:t>
      </w:r>
    </w:p>
    <w:p w14:paraId="164354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具有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患者智能疼痛管理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根据患者手术结束时间，分时间段提示患者疼痛需自控按压缓解疼痛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等功能</w:t>
      </w:r>
    </w:p>
    <w:p w14:paraId="337E8E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余液管理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:需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规范残余液处理，支持双认证核对处理操作</w:t>
      </w:r>
    </w:p>
    <w:p w14:paraId="37D9D9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疼痛管理信息系统硬件</w:t>
      </w:r>
    </w:p>
    <w:tbl>
      <w:tblPr>
        <w:tblStyle w:val="2"/>
        <w:tblpPr w:leftFromText="180" w:rightFromText="180" w:vertAnchor="text" w:horzAnchor="page" w:tblpX="1690" w:tblpY="424"/>
        <w:tblOverlap w:val="never"/>
        <w:tblW w:w="83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95"/>
        <w:gridCol w:w="5090"/>
      </w:tblGrid>
      <w:tr w14:paraId="30F6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10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4FE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泵送方式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A205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蠕动式</w:t>
            </w:r>
          </w:p>
        </w:tc>
      </w:tr>
      <w:tr w14:paraId="1E3D4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B4C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66D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给药途径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46A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静脉、硬膜外给药途径</w:t>
            </w:r>
          </w:p>
        </w:tc>
      </w:tr>
      <w:tr w14:paraId="4D00D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80F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21C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首次量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7FC4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0-30ml/次</w:t>
            </w:r>
          </w:p>
        </w:tc>
      </w:tr>
      <w:tr w14:paraId="5F6FF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3C2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080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持续输注速度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E390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0-10ml/h</w:t>
            </w:r>
          </w:p>
        </w:tc>
      </w:tr>
      <w:tr w14:paraId="113B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F86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0E4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脉冲给药量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E02A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0-30ml/次</w:t>
            </w:r>
          </w:p>
        </w:tc>
      </w:tr>
      <w:tr w14:paraId="34DAE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DE0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32C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脉冲给药速度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C8E4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5-7ml/min（可调）</w:t>
            </w:r>
          </w:p>
        </w:tc>
      </w:tr>
      <w:tr w14:paraId="63CAA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E3F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BAC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脉冲间隔时间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E88F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15min-4时</w:t>
            </w:r>
          </w:p>
        </w:tc>
      </w:tr>
      <w:tr w14:paraId="2D09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5A4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70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自控给药量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01DC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0-9.9ml</w:t>
            </w:r>
          </w:p>
        </w:tc>
      </w:tr>
      <w:tr w14:paraId="2AB7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DC2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5FB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自控锁定时间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87D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0分-23小时59分</w:t>
            </w:r>
          </w:p>
        </w:tc>
      </w:tr>
      <w:tr w14:paraId="6E0E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65B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487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极限量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705E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1-100ml/h</w:t>
            </w:r>
          </w:p>
        </w:tc>
      </w:tr>
      <w:tr w14:paraId="3EB5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CD2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9D5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一键排气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190F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按“排气”键可持续排除延长管气体，30s后自动停止，无需长按</w:t>
            </w:r>
          </w:p>
        </w:tc>
      </w:tr>
      <w:tr w14:paraId="78E0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1F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B93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报警自恢复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721A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自动监测管路阻塞情况，阻塞报警排除后自恢复功能，减少医护人员操作次数</w:t>
            </w:r>
          </w:p>
        </w:tc>
      </w:tr>
      <w:tr w14:paraId="15BE2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534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839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报警提示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F52C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视觉报警和听觉报警：气泡、堵塞、装夹未到位、电量、输液结束等多种报警提示和报警灯提示</w:t>
            </w:r>
          </w:p>
        </w:tc>
      </w:tr>
      <w:tr w14:paraId="3930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32D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CBF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正压单向阀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AD36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防止输液过程中发生药液回流、回血，又能防止药液重力自流现象发生</w:t>
            </w:r>
          </w:p>
        </w:tc>
      </w:tr>
      <w:tr w14:paraId="1F4A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05E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EC0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保护功能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A0D0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极限量、键盘锁、密码锁、二级锁等</w:t>
            </w:r>
          </w:p>
        </w:tc>
      </w:tr>
    </w:tbl>
    <w:p w14:paraId="363AEC6C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</w:pPr>
    </w:p>
    <w:p w14:paraId="170A80A1">
      <w:pPr>
        <w:rPr>
          <w:color w:val="auto"/>
        </w:rPr>
      </w:pPr>
    </w:p>
    <w:p w14:paraId="38317DA9">
      <w:pPr>
        <w:rPr>
          <w:color w:val="auto"/>
        </w:rPr>
      </w:pPr>
    </w:p>
    <w:p w14:paraId="69E488AE">
      <w:pPr>
        <w:rPr>
          <w:color w:val="auto"/>
        </w:rPr>
      </w:pPr>
      <w:r>
        <w:rPr>
          <w:color w:val="auto"/>
        </w:rPr>
        <w:br w:type="page"/>
      </w:r>
    </w:p>
    <w:p w14:paraId="25935FBE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7400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83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双腔微导管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7A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B9E5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产品需具有2个管腔，一个管腔为经导丝腔，另一管腔为快速交换腔；</w:t>
            </w:r>
          </w:p>
          <w:p w14:paraId="6A818452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表面涂有亲水涂层；</w:t>
            </w:r>
          </w:p>
          <w:p w14:paraId="26C89E0C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高亮显影段能被X射线探测到，管身上有不透射线标记；</w:t>
            </w:r>
          </w:p>
          <w:p w14:paraId="1EBE2C16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接口为6%标准鲁尔接口，</w:t>
            </w:r>
          </w:p>
          <w:p w14:paraId="163A2770">
            <w:pPr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产品经环氧乙烷灭菌，一次性使用；</w:t>
            </w:r>
          </w:p>
          <w:p w14:paraId="1F3FB944">
            <w:pPr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灭菌后，遵守储存规定的条件下，有效期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不小于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2年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EA4B0E1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*7.工作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长度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1400mm</w:t>
            </w:r>
          </w:p>
          <w:p w14:paraId="1BC20433">
            <w:pPr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3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球囊扩张导管用球囊充压装置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DC9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2D2E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</w:p>
          <w:p w14:paraId="2076DAD1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规格：DMKID30S</w:t>
            </w:r>
          </w:p>
          <w:p w14:paraId="78EB742D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1.球囊扩张导管用球囊充压装置产品容量≥20ml，</w:t>
            </w:r>
          </w:p>
          <w:p w14:paraId="26AB56EC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2.最大输出压力为≤30atm，</w:t>
            </w:r>
          </w:p>
          <w:p w14:paraId="160CD7B2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*3.压力输出稳定，高压不回退。</w:t>
            </w:r>
          </w:p>
          <w:p w14:paraId="2DC61C49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4.atm刻度的最小分度值≤1atm，psi刻度的最小分度值≤45psi;</w:t>
            </w:r>
          </w:p>
          <w:p w14:paraId="12D832DF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5.充压装置推出的容量体积不超过标准量的±4.0%；</w:t>
            </w:r>
          </w:p>
          <w:p w14:paraId="24560686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6.产品经环氧乙烷灭菌、无菌、无热源、一次性使用；</w:t>
            </w:r>
          </w:p>
          <w:p w14:paraId="1E40585F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7.接口为6%标准鲁尔接口。</w:t>
            </w:r>
          </w:p>
          <w:p w14:paraId="6D61F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6474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82BF07">
      <w:pPr>
        <w:rPr>
          <w:color w:val="auto"/>
        </w:rPr>
      </w:pPr>
    </w:p>
    <w:p w14:paraId="78D89443">
      <w:pPr>
        <w:rPr>
          <w:color w:val="auto"/>
        </w:rPr>
      </w:pPr>
    </w:p>
    <w:p w14:paraId="3BD916DA">
      <w:pPr>
        <w:rPr>
          <w:color w:val="auto"/>
        </w:rPr>
      </w:pPr>
    </w:p>
    <w:p w14:paraId="528BDD06">
      <w:pPr>
        <w:rPr>
          <w:color w:val="auto"/>
        </w:rPr>
      </w:pPr>
      <w:r>
        <w:rPr>
          <w:color w:val="auto"/>
        </w:rPr>
        <w:br w:type="page"/>
      </w:r>
    </w:p>
    <w:p w14:paraId="163C7EB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54E07A1F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245"/>
        <w:gridCol w:w="3045"/>
        <w:gridCol w:w="630"/>
        <w:gridCol w:w="1050"/>
        <w:gridCol w:w="885"/>
      </w:tblGrid>
      <w:tr w14:paraId="058A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FD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F76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冠脉药物球囊扩张导管</w:t>
            </w:r>
          </w:p>
          <w:p w14:paraId="547A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253A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ABB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5592D5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1.双适应症：小血管病变与支架内再狭窄；</w:t>
            </w:r>
          </w:p>
          <w:p w14:paraId="53ADECF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908A515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2.球囊表面药物为紫杉醇且药物涂层≥3ug/mm²；</w:t>
            </w:r>
          </w:p>
          <w:p w14:paraId="2A74AD9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575ECF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3.药物运输过程中不丢失，可应对长时间操作；</w:t>
            </w:r>
          </w:p>
          <w:p w14:paraId="28C8B66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C69F70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4.爆破压≤20atm；</w:t>
            </w:r>
          </w:p>
          <w:p w14:paraId="7CB17CAE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63EDF85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5.球囊直径范围2.0mm~4.0mm，长度范围10mm~35mm</w:t>
            </w:r>
          </w:p>
          <w:p w14:paraId="12701CD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46AFCDCD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  <w:p w14:paraId="3E253B91">
            <w:pPr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1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5554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B08873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/>
          <w:color w:val="auto"/>
          <w:sz w:val="24"/>
          <w:szCs w:val="21"/>
          <w:lang w:val="en-US" w:eastAsia="zh-CN"/>
        </w:rPr>
      </w:pPr>
    </w:p>
    <w:p w14:paraId="1FDDE12B">
      <w:pPr>
        <w:rPr>
          <w:color w:val="auto"/>
        </w:rPr>
      </w:pPr>
    </w:p>
    <w:p w14:paraId="1A35A77D">
      <w:pPr>
        <w:rPr>
          <w:color w:val="auto"/>
        </w:rPr>
      </w:pPr>
    </w:p>
    <w:p w14:paraId="21F36A97">
      <w:pPr>
        <w:rPr>
          <w:color w:val="auto"/>
        </w:rPr>
      </w:pPr>
    </w:p>
    <w:p w14:paraId="296C1FD7">
      <w:pPr>
        <w:rPr>
          <w:color w:val="auto"/>
        </w:rPr>
      </w:pPr>
      <w:r>
        <w:rPr>
          <w:color w:val="auto"/>
        </w:rPr>
        <w:br w:type="page"/>
      </w:r>
    </w:p>
    <w:p w14:paraId="616C7847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45E87E3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58"/>
        <w:gridCol w:w="1275"/>
        <w:gridCol w:w="2520"/>
        <w:gridCol w:w="600"/>
        <w:gridCol w:w="1245"/>
        <w:gridCol w:w="885"/>
      </w:tblGrid>
      <w:tr w14:paraId="5BE3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A5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48D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F9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纯钛底座一体冠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F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8362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9B4F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纯钛底座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-个性化基台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2A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ECC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D7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爱尔创珺瓷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9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6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A9D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7B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吉尔巴赫氧化锆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69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8F71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6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威兰德氧化锆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1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E68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832D0AD">
      <w:pPr>
        <w:rPr>
          <w:color w:val="auto"/>
        </w:rPr>
      </w:pPr>
    </w:p>
    <w:p w14:paraId="5D977530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基本参数：</w:t>
      </w:r>
    </w:p>
    <w:p w14:paraId="33DAE41A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性能结构与组成：</w:t>
      </w:r>
      <w:r>
        <w:rPr>
          <w:rFonts w:hint="default"/>
          <w:color w:val="auto"/>
          <w:sz w:val="28"/>
          <w:szCs w:val="28"/>
          <w:lang w:val="en-US" w:eastAsia="zh-CN"/>
        </w:rPr>
        <w:t>定制式固定义齿由固位体、桥体和连接体组成</w:t>
      </w:r>
    </w:p>
    <w:p w14:paraId="6A9D487F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适用范围：用于牙列缺损或牙体缺损的修复</w:t>
      </w:r>
    </w:p>
    <w:p w14:paraId="03436757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性能指标：定制式固定义齿的制作应符合口腔临床医生的设计要求。</w:t>
      </w:r>
    </w:p>
    <w:p w14:paraId="19CA8E5F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定制式固定义齿瓷质表面应光滑，无裂纹、气泡、气孔、瓷裂、夹杂物等缺陷。定制式固定义齿的颜色、色泽应与标准比色板相符,与邻牙大小应相匹配协调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 w14:paraId="654485F4">
      <w:pPr>
        <w:numPr>
          <w:ilvl w:val="0"/>
          <w:numId w:val="5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*</w:t>
      </w:r>
      <w:r>
        <w:rPr>
          <w:rFonts w:hint="default"/>
          <w:color w:val="auto"/>
          <w:sz w:val="28"/>
          <w:szCs w:val="28"/>
          <w:lang w:val="en-US" w:eastAsia="zh-CN"/>
        </w:rPr>
        <w:t>提供</w:t>
      </w:r>
      <w:r>
        <w:rPr>
          <w:rFonts w:hint="eastAsia"/>
          <w:color w:val="auto"/>
          <w:sz w:val="28"/>
          <w:szCs w:val="28"/>
          <w:lang w:val="en-US" w:eastAsia="zh-CN"/>
        </w:rPr>
        <w:t>到院</w:t>
      </w:r>
      <w:r>
        <w:rPr>
          <w:rFonts w:hint="default"/>
          <w:color w:val="auto"/>
          <w:sz w:val="28"/>
          <w:szCs w:val="28"/>
          <w:lang w:val="en-US" w:eastAsia="zh-CN"/>
        </w:rPr>
        <w:t>口腔扫描取模服务，并</w:t>
      </w:r>
      <w:r>
        <w:rPr>
          <w:rFonts w:hint="eastAsia"/>
          <w:color w:val="auto"/>
          <w:sz w:val="28"/>
          <w:szCs w:val="28"/>
          <w:lang w:val="en-US" w:eastAsia="zh-CN"/>
        </w:rPr>
        <w:t>无偿</w:t>
      </w:r>
      <w:r>
        <w:rPr>
          <w:rFonts w:hint="default"/>
          <w:color w:val="auto"/>
          <w:sz w:val="28"/>
          <w:szCs w:val="28"/>
          <w:lang w:val="en-US" w:eastAsia="zh-CN"/>
        </w:rPr>
        <w:t>提供取模配件（各种植体的扫描杆和替代体</w:t>
      </w:r>
      <w:r>
        <w:rPr>
          <w:rFonts w:hint="eastAsia"/>
          <w:color w:val="auto"/>
          <w:sz w:val="28"/>
          <w:szCs w:val="28"/>
          <w:lang w:val="en-US" w:eastAsia="zh-CN"/>
        </w:rPr>
        <w:t>等</w:t>
      </w:r>
      <w:r>
        <w:rPr>
          <w:rFonts w:hint="default"/>
          <w:color w:val="auto"/>
          <w:sz w:val="28"/>
          <w:szCs w:val="28"/>
          <w:lang w:val="en-US" w:eastAsia="zh-CN"/>
        </w:rPr>
        <w:t>）</w:t>
      </w:r>
    </w:p>
    <w:p w14:paraId="23147F37">
      <w:pPr>
        <w:rPr>
          <w:color w:val="auto"/>
        </w:rPr>
      </w:pPr>
    </w:p>
    <w:p w14:paraId="2F495020">
      <w:pPr>
        <w:rPr>
          <w:color w:val="auto"/>
        </w:rPr>
      </w:pPr>
    </w:p>
    <w:p w14:paraId="0D563938">
      <w:pPr>
        <w:rPr>
          <w:color w:val="auto"/>
        </w:rPr>
      </w:pPr>
      <w:r>
        <w:rPr>
          <w:color w:val="auto"/>
        </w:rPr>
        <w:br w:type="page"/>
      </w:r>
    </w:p>
    <w:p w14:paraId="30481528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0E7CA5E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5993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71D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一次性使用血液灌流器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409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肾内科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1A9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*1.具备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清除人体内生性和外源性的毒性物质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灌流器治疗需满足可清除血液透析不能清除的中大分子尿毒症毒素，吸附容量大，吸附速率快。</w:t>
            </w:r>
          </w:p>
          <w:p w14:paraId="0A6701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2.外观：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灌流器的外壳应透明(或半透明),内外壳表面光洁，液体通道内不得有肉眼可见的杂质</w:t>
            </w:r>
          </w:p>
          <w:p w14:paraId="24CB1434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血室容量：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mL±10%</w:t>
            </w:r>
          </w:p>
          <w:p w14:paraId="2866BFA9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树脂装载量：130mL±10%</w:t>
            </w:r>
          </w:p>
          <w:p w14:paraId="5FA47234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密封性能：能承受100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kPa</w:t>
            </w:r>
          </w:p>
          <w:p w14:paraId="65D57323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吸附性能：维生素B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（代表中分子物质）的浓度下降率不低于90%</w:t>
            </w:r>
          </w:p>
          <w:p w14:paraId="1EDBF009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  <w:p w14:paraId="4F31096B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  <w:p w14:paraId="77677280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F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5FC1D1A">
      <w:pPr>
        <w:rPr>
          <w:color w:val="auto"/>
        </w:rPr>
      </w:pPr>
    </w:p>
    <w:p w14:paraId="66E1F84E">
      <w:pPr>
        <w:rPr>
          <w:color w:val="auto"/>
        </w:rPr>
      </w:pPr>
    </w:p>
    <w:p w14:paraId="06AA5BFC">
      <w:pPr>
        <w:rPr>
          <w:color w:val="auto"/>
        </w:rPr>
      </w:pPr>
    </w:p>
    <w:p w14:paraId="325C665F">
      <w:pPr>
        <w:rPr>
          <w:color w:val="auto"/>
        </w:rPr>
      </w:pPr>
    </w:p>
    <w:p w14:paraId="2392EF8D">
      <w:pPr>
        <w:rPr>
          <w:color w:val="auto"/>
        </w:rPr>
      </w:pPr>
      <w:r>
        <w:rPr>
          <w:color w:val="auto"/>
        </w:rPr>
        <w:br w:type="page"/>
      </w:r>
    </w:p>
    <w:p w14:paraId="37C44CC9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3CAFC21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6109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69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球囊加压装置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29F6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导管室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1528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7ID-T120-2-1</w:t>
            </w:r>
          </w:p>
          <w:p w14:paraId="356B949E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适用范围：用于PTCA手术中，对球囊进行充盈及收缩。</w:t>
            </w:r>
          </w:p>
          <w:p w14:paraId="55655AF9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容量：20ml</w:t>
            </w:r>
          </w:p>
          <w:p w14:paraId="0CE8D132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最大加压：25atm标称压力，在压力保持过程中不超过10%的压力衰减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423502B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球囊加压装置由泵体组件和手柄组件组成，泵体组件由泵体、压力表、耐压管、O型圈和鲁尔锁定接头组成，手柄组件由手柄、齿条拉杆、螺纹端盖、衬套、弹簧和活塞组成。</w:t>
            </w:r>
          </w:p>
          <w:p w14:paraId="3CA067A7">
            <w:pPr>
              <w:numPr>
                <w:ilvl w:val="0"/>
                <w:numId w:val="0"/>
              </w:numPr>
              <w:rPr>
                <w:rFonts w:hint="default" w:ascii="宋体" w:hAnsi="宋体" w:eastAsia="微软雅黑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D0A4BA1">
      <w:pPr>
        <w:rPr>
          <w:color w:val="auto"/>
        </w:rPr>
      </w:pPr>
    </w:p>
    <w:p w14:paraId="39466560">
      <w:pPr>
        <w:rPr>
          <w:color w:val="auto"/>
        </w:rPr>
      </w:pPr>
    </w:p>
    <w:p w14:paraId="0D2CDABA">
      <w:pPr>
        <w:rPr>
          <w:color w:val="auto"/>
        </w:rPr>
      </w:pPr>
    </w:p>
    <w:sectPr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C6EAE"/>
    <w:multiLevelType w:val="singleLevel"/>
    <w:tmpl w:val="933C6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42472B"/>
    <w:multiLevelType w:val="singleLevel"/>
    <w:tmpl w:val="9B42472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788960"/>
    <w:multiLevelType w:val="singleLevel"/>
    <w:tmpl w:val="A778896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25475F1"/>
    <w:multiLevelType w:val="singleLevel"/>
    <w:tmpl w:val="E2547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966F1D5"/>
    <w:multiLevelType w:val="singleLevel"/>
    <w:tmpl w:val="F966F1D5"/>
    <w:lvl w:ilvl="0" w:tentative="0">
      <w:start w:val="6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abstractNum w:abstractNumId="5">
    <w:nsid w:val="2E74EA72"/>
    <w:multiLevelType w:val="singleLevel"/>
    <w:tmpl w:val="2E74E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E7B08"/>
    <w:rsid w:val="1E894AE9"/>
    <w:rsid w:val="335D4947"/>
    <w:rsid w:val="336D2F1F"/>
    <w:rsid w:val="46CF005F"/>
    <w:rsid w:val="764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4119</Words>
  <Characters>4713</Characters>
  <Lines>0</Lines>
  <Paragraphs>0</Paragraphs>
  <TotalTime>3</TotalTime>
  <ScaleCrop>false</ScaleCrop>
  <LinksUpToDate>false</LinksUpToDate>
  <CharactersWithSpaces>4740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2025-08-28T02:45:00Z</dcterms:created>
  <dc:creator>Administrator</dc:creator>
  <cp:lastModifiedBy>꧁༺章鱼丸子 ༻꧂</cp:lastModifiedBy>
  <dcterms:modified xsi:type="dcterms:W3CDTF">2025-09-10T05:37:53Z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eyJoZGlkIjoiMjM1OTMyNGJhOGI2NzMwOTdmNjczYjUxMzI4YTNiNWUiLCJ1c2VySWQiOiIzNzA5MjU5MzEifQ==</vt:lpwstr>
  </property>
  <property fmtid="{D5CDD505-2E9C-101B-9397-08002B2CF9AE}" pid="4" name="ICV">
    <vt:lpwstr>C4875A5482E94D68B55807DA5DBE331B_12</vt:lpwstr>
  </property>
</Properties>
</file>