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wordWrap w:val="0"/>
        <w:spacing w:after="120"/>
        <w:ind w:right="1979" w:firstLine="1816" w:firstLineChars="646"/>
        <w:jc w:val="both"/>
        <w:rPr>
          <w:rFonts w:hint="eastAsia" w:ascii="宋体" w:hAnsi="宋体" w:eastAsia="宋体"/>
          <w:b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sz w:val="28"/>
          <w:szCs w:val="36"/>
        </w:rPr>
        <w:t>内镜清洗</w:t>
      </w:r>
      <w:r>
        <w:rPr>
          <w:rFonts w:hint="eastAsia" w:ascii="宋体" w:hAnsi="宋体"/>
          <w:b/>
          <w:sz w:val="28"/>
          <w:szCs w:val="36"/>
          <w:lang w:eastAsia="zh-CN"/>
        </w:rPr>
        <w:t>工作站整体解决方案</w:t>
      </w:r>
    </w:p>
    <w:tbl>
      <w:tblPr>
        <w:tblStyle w:val="4"/>
        <w:tblW w:w="10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7734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01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条款号</w:t>
            </w:r>
          </w:p>
        </w:tc>
        <w:tc>
          <w:tcPr>
            <w:tcW w:w="773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ind w:firstLine="3132" w:firstLineChars="130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招标规格</w:t>
            </w:r>
          </w:p>
        </w:tc>
        <w:tc>
          <w:tcPr>
            <w:tcW w:w="1501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投标对照规格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一、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主要用途：适用于医疗机构软式内镜的清洗消毒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6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二、</w:t>
            </w:r>
          </w:p>
        </w:tc>
        <w:tc>
          <w:tcPr>
            <w:tcW w:w="773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功能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及设计布局</w:t>
            </w:r>
            <w:r>
              <w:rPr>
                <w:rFonts w:hint="eastAsia" w:ascii="宋体" w:hAnsi="宋体" w:cs="宋体"/>
                <w:b/>
                <w:bCs/>
              </w:rPr>
              <w:t>要求：</w:t>
            </w:r>
          </w:p>
        </w:tc>
        <w:tc>
          <w:tcPr>
            <w:tcW w:w="1501" w:type="dxa"/>
            <w:tcBorders>
              <w:top w:val="single" w:color="auto" w:sz="2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016" w:type="dxa"/>
            <w:tcBorders>
              <w:top w:val="single" w:color="auto" w:sz="2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34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适用于各种类型、兼容各种品牌的软式内镜的清洗和消毒</w:t>
            </w:r>
          </w:p>
        </w:tc>
        <w:tc>
          <w:tcPr>
            <w:tcW w:w="1501" w:type="dxa"/>
            <w:tcBorders>
              <w:top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016" w:type="dxa"/>
            <w:tcBorders>
              <w:top w:val="single" w:color="auto" w:sz="2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</w:p>
        </w:tc>
        <w:tc>
          <w:tcPr>
            <w:tcW w:w="7734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说明：预配置二套清洗工作站（一胃一肠），及一台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双缸</w:t>
            </w:r>
            <w:r>
              <w:rPr>
                <w:rFonts w:hint="eastAsia" w:ascii="宋体" w:hAnsi="宋体"/>
                <w:b w:val="0"/>
                <w:bCs w:val="0"/>
              </w:rPr>
              <w:t>全自动内镜清洗消毒机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布局：根据内室面积、结构、合理布局。</w:t>
            </w:r>
          </w:p>
          <w:p>
            <w:pPr>
              <w:rPr>
                <w:rFonts w:hint="eastAsia" w:ascii="宋体" w:hAnsi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eastAsia="zh-CN"/>
              </w:rPr>
              <w:t>配置要求：肠镜侧，有酶洗、漂洗、消毒、末洗、转角干燥台、干燥台。</w:t>
            </w:r>
          </w:p>
          <w:p>
            <w:pPr>
              <w:ind w:left="1050" w:hanging="1050" w:hangingChars="500"/>
              <w:rPr>
                <w:rFonts w:hint="default" w:ascii="宋体" w:hAnsi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胃镜侧，阳性预处理、阳性消毒、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酶洗、漂洗、消毒、末洗、全自动内镜清洗消毒机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eastAsia="zh-CN"/>
              </w:rPr>
              <w:t>要求产品设计布局合理，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台面及转角设计一体化，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自然流畅，符合场地格局要求，美观耐用。产品使用同一厂家生产，拒绝组装拼接，以次充好。</w:t>
            </w:r>
          </w:p>
        </w:tc>
        <w:tc>
          <w:tcPr>
            <w:tcW w:w="1501" w:type="dxa"/>
            <w:tcBorders>
              <w:top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6" w:type="dxa"/>
            <w:tcBorders>
              <w:top w:val="single" w:color="auto" w:sz="2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三、</w:t>
            </w:r>
          </w:p>
        </w:tc>
        <w:tc>
          <w:tcPr>
            <w:tcW w:w="7734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内镜清洗工作站</w:t>
            </w:r>
            <w:r>
              <w:rPr>
                <w:rFonts w:hint="eastAsia" w:ascii="宋体" w:hAnsi="宋体" w:cs="宋体"/>
                <w:b/>
                <w:bCs/>
              </w:rPr>
              <w:t>详细技术性能指标：</w:t>
            </w:r>
          </w:p>
        </w:tc>
        <w:tc>
          <w:tcPr>
            <w:tcW w:w="1501" w:type="dxa"/>
            <w:tcBorders>
              <w:top w:val="single" w:color="auto" w:sz="2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6" w:type="dxa"/>
            <w:tcBorders>
              <w:top w:val="single" w:color="auto" w:sz="2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3.1</w:t>
            </w:r>
          </w:p>
        </w:tc>
        <w:tc>
          <w:tcPr>
            <w:tcW w:w="7734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/>
                <w:szCs w:val="21"/>
              </w:rPr>
              <w:t>整机结构设计与功能</w:t>
            </w:r>
          </w:p>
        </w:tc>
        <w:tc>
          <w:tcPr>
            <w:tcW w:w="1501" w:type="dxa"/>
            <w:tcBorders>
              <w:top w:val="single" w:color="auto" w:sz="2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6" w:type="dxa"/>
            <w:tcBorders>
              <w:top w:val="single" w:color="auto" w:sz="2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</w:p>
        </w:tc>
        <w:tc>
          <w:tcPr>
            <w:tcW w:w="7734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01" w:type="dxa"/>
            <w:tcBorders>
              <w:top w:val="single" w:color="auto" w:sz="2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  <w:jc w:val="center"/>
        </w:trPr>
        <w:tc>
          <w:tcPr>
            <w:tcW w:w="1016" w:type="dxa"/>
            <w:tcBorders>
              <w:top w:val="single" w:color="auto" w:sz="2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</w:p>
        </w:tc>
        <w:tc>
          <w:tcPr>
            <w:tcW w:w="7734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台面、清洗槽、功能背板、干燥台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材质要求：</w:t>
            </w:r>
            <w:r>
              <w:rPr>
                <w:rFonts w:hint="eastAsia" w:ascii="宋体" w:hAnsi="宋体" w:cs="宋体"/>
                <w:b w:val="0"/>
                <w:bCs w:val="0"/>
              </w:rPr>
              <w:t>采用</w:t>
            </w:r>
            <w:r>
              <w:rPr>
                <w:rFonts w:hint="eastAsia" w:ascii="宋体" w:hAnsi="宋体" w:cs="宋体"/>
                <w:b w:val="0"/>
                <w:bCs w:val="0"/>
                <w:lang w:eastAsia="zh-CN"/>
              </w:rPr>
              <w:t>进口</w:t>
            </w:r>
            <w:r>
              <w:rPr>
                <w:rFonts w:hint="eastAsia" w:ascii="宋体" w:hAnsi="宋体" w:cs="宋体"/>
                <w:b w:val="0"/>
                <w:bCs w:val="0"/>
              </w:rPr>
              <w:t>ABS高分子材料一体注塑成型，</w:t>
            </w:r>
            <w:r>
              <w:rPr>
                <w:rFonts w:hint="eastAsia" w:ascii="宋体" w:hAnsi="宋体" w:cs="宋体"/>
                <w:b w:val="0"/>
                <w:bCs w:val="0"/>
                <w:lang w:eastAsia="zh-CN"/>
              </w:rPr>
              <w:t>或</w:t>
            </w:r>
            <w:r>
              <w:rPr>
                <w:rFonts w:hint="eastAsia"/>
                <w:b w:val="0"/>
                <w:bCs w:val="0"/>
              </w:rPr>
              <w:t>采用进口高分子复合材料整体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热合吸塑成型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/>
              </w:rPr>
              <w:t>无锋角，无接缝，细菌附着率低、抗菌抗渗透性优异，表面光亮平滑、耐磨、耐酸碱、易清洗，损伤后容易修复、寿命长，不变色不变脆，对人体无毒性。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台面及转角设计一体化，流畅自然。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1501" w:type="dxa"/>
            <w:tcBorders>
              <w:top w:val="single" w:color="auto" w:sz="2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6" w:type="dxa"/>
            <w:tcBorders>
              <w:top w:val="single" w:color="auto" w:sz="2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3.2、</w:t>
            </w:r>
            <w:r>
              <w:rPr>
                <w:rFonts w:hint="eastAsia" w:ascii="宋体" w:hAnsi="宋体"/>
                <w:szCs w:val="21"/>
              </w:rPr>
              <w:t>★</w:t>
            </w:r>
          </w:p>
        </w:tc>
        <w:tc>
          <w:tcPr>
            <w:tcW w:w="7734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洗消槽的尺寸及材料工艺 </w:t>
            </w:r>
          </w:p>
        </w:tc>
        <w:tc>
          <w:tcPr>
            <w:tcW w:w="1501" w:type="dxa"/>
            <w:tcBorders>
              <w:top w:val="single" w:color="auto" w:sz="2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16" w:type="dxa"/>
            <w:tcBorders>
              <w:top w:val="single" w:color="auto" w:sz="2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34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方槽外形尺寸（长*宽）：≤</w:t>
            </w:r>
            <w:r>
              <w:rPr>
                <w:rFonts w:hint="eastAsia" w:ascii="宋体" w:hAnsi="宋体" w:cs="宋体"/>
                <w:lang w:val="en-US" w:eastAsia="zh-CN"/>
              </w:rPr>
              <w:t>62</w:t>
            </w:r>
            <w:r>
              <w:rPr>
                <w:rFonts w:hint="eastAsia" w:ascii="宋体" w:hAnsi="宋体" w:cs="宋体"/>
              </w:rPr>
              <w:t>0mm×</w:t>
            </w:r>
            <w:r>
              <w:rPr>
                <w:rFonts w:hint="eastAsia" w:ascii="宋体" w:hAnsi="宋体" w:cs="宋体"/>
                <w:lang w:val="en-US" w:eastAsia="zh-CN"/>
              </w:rPr>
              <w:t>750</w:t>
            </w:r>
            <w:r>
              <w:rPr>
                <w:rFonts w:hint="eastAsia" w:ascii="宋体" w:hAnsi="宋体" w:cs="宋体"/>
              </w:rPr>
              <w:t xml:space="preserve"> mm,</w:t>
            </w:r>
          </w:p>
        </w:tc>
        <w:tc>
          <w:tcPr>
            <w:tcW w:w="1501" w:type="dxa"/>
            <w:tcBorders>
              <w:top w:val="single" w:color="auto" w:sz="2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方槽内腔尺寸（长*宽*高）：≥</w:t>
            </w:r>
            <w:r>
              <w:rPr>
                <w:rFonts w:hint="eastAsia" w:ascii="宋体" w:hAnsi="宋体" w:cs="宋体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</w:rPr>
              <w:t>mm×4</w:t>
            </w:r>
            <w:r>
              <w:rPr>
                <w:rFonts w:hint="eastAsia" w:ascii="宋体" w:hAnsi="宋体" w:cs="宋体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</w:rPr>
              <w:t>mm×2</w:t>
            </w:r>
            <w:r>
              <w:rPr>
                <w:rFonts w:hint="eastAsia" w:ascii="宋体" w:hAnsi="宋体" w:cs="宋体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</w:rPr>
              <w:t xml:space="preserve"> mm；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干燥台</w:t>
            </w:r>
            <w:r>
              <w:rPr>
                <w:rFonts w:hint="eastAsia" w:ascii="宋体" w:hAnsi="宋体" w:cs="宋体"/>
                <w:lang w:eastAsia="zh-CN"/>
              </w:rPr>
              <w:t>尺寸</w:t>
            </w:r>
            <w:r>
              <w:rPr>
                <w:rFonts w:hint="eastAsia" w:ascii="宋体" w:hAnsi="宋体" w:cs="宋体"/>
                <w:lang w:val="en-US" w:eastAsia="zh-CN"/>
              </w:rPr>
              <w:t>(长）</w:t>
            </w:r>
            <w:r>
              <w:rPr>
                <w:rFonts w:hint="eastAsia" w:ascii="宋体" w:hAnsi="宋体" w:cs="宋体"/>
              </w:rPr>
              <w:t>：≥</w:t>
            </w:r>
            <w:r>
              <w:rPr>
                <w:rFonts w:hint="eastAsia" w:ascii="宋体" w:hAnsi="宋体" w:cs="宋体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</w:rPr>
              <w:t>mm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洗消槽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光滑</w:t>
            </w:r>
            <w:r>
              <w:rPr>
                <w:rFonts w:hint="eastAsia" w:ascii="宋体" w:hAnsi="宋体" w:cs="宋体"/>
              </w:rPr>
              <w:t>，耐磨、耐酸碱、不易氧化、易清洗、细菌附着率低、寿命长对内镜无磨损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3.3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功能背板的材料和工艺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采用</w:t>
            </w:r>
            <w:r>
              <w:rPr>
                <w:rFonts w:hint="eastAsia" w:ascii="宋体" w:hAnsi="宋体" w:cs="宋体"/>
                <w:b w:val="0"/>
                <w:bCs w:val="0"/>
                <w:lang w:eastAsia="zh-CN"/>
              </w:rPr>
              <w:t>进口</w:t>
            </w:r>
            <w:r>
              <w:rPr>
                <w:rFonts w:hint="eastAsia" w:ascii="宋体" w:hAnsi="宋体" w:cs="宋体"/>
                <w:b w:val="0"/>
                <w:bCs w:val="0"/>
              </w:rPr>
              <w:t>ABS高分子材料一体注塑成型，</w:t>
            </w:r>
            <w:r>
              <w:rPr>
                <w:rFonts w:hint="eastAsia" w:ascii="宋体" w:hAnsi="宋体" w:cs="宋体"/>
                <w:b w:val="0"/>
                <w:bCs w:val="0"/>
                <w:lang w:eastAsia="zh-CN"/>
              </w:rPr>
              <w:t>或</w:t>
            </w:r>
            <w:r>
              <w:rPr>
                <w:rFonts w:hint="eastAsia"/>
                <w:b w:val="0"/>
                <w:bCs w:val="0"/>
              </w:rPr>
              <w:t>采用进口高分子复合材料整体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热合吸塑成型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/>
              </w:rPr>
              <w:t>表面光亮平滑、耐磨、耐酸碱、易清洗，损伤后容易修复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3.4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干燥台的材料和工艺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无锋角，无接缝，细菌附着率低、抗菌抗渗透性优异，表面光亮平滑、耐磨、耐酸碱、易清洗，损伤后容易修复、寿命长，不变色不变脆，对人体无毒性。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3.5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槽盖的材料和工艺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槽盖与洗消槽在没有密封圈的配合条件下，</w:t>
            </w:r>
            <w:r>
              <w:rPr>
                <w:rFonts w:hint="eastAsia" w:ascii="宋体" w:hAnsi="宋体" w:cs="宋体"/>
                <w:b w:val="0"/>
                <w:bCs w:val="0"/>
              </w:rPr>
              <w:t>两者间的间隙要≤1mm</w:t>
            </w:r>
            <w:r>
              <w:rPr>
                <w:rFonts w:hint="eastAsia" w:ascii="宋体" w:hAnsi="宋体" w:cs="宋体"/>
              </w:rPr>
              <w:t>,消除消毒液的扩散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3.6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干燥台、洗消槽及功能背板的设计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干燥台和清洗槽采用</w:t>
            </w:r>
            <w:r>
              <w:rPr>
                <w:rFonts w:hint="eastAsia" w:ascii="宋体" w:hAnsi="宋体" w:cs="宋体"/>
                <w:b w:val="0"/>
                <w:bCs w:val="0"/>
              </w:rPr>
              <w:t>防泛水设计</w:t>
            </w:r>
            <w:r>
              <w:rPr>
                <w:rFonts w:hint="eastAsia" w:ascii="宋体" w:hAnsi="宋体" w:cs="宋体"/>
              </w:rPr>
              <w:t>，清洗溅到台面的液体会全部流入下水道。台面前端</w:t>
            </w:r>
            <w:r>
              <w:rPr>
                <w:rFonts w:hint="eastAsia" w:ascii="宋体" w:hAnsi="宋体" w:cs="宋体"/>
                <w:lang w:eastAsia="zh-CN"/>
              </w:rPr>
              <w:t>符合人体力学设计</w:t>
            </w:r>
            <w:r>
              <w:rPr>
                <w:rFonts w:hint="eastAsia" w:ascii="宋体" w:hAnsi="宋体" w:cs="宋体"/>
              </w:rPr>
              <w:t>，有效缓解疲劳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 w:ascii="宋体" w:hAnsi="宋体" w:cs="宋体"/>
              </w:rPr>
              <w:t>功能背板设计整体简洁大方，装配误差小，牢固度高等优点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7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柜门板的材料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采用铝合金和特殊晶钢玻璃制成</w:t>
            </w:r>
            <w:r>
              <w:rPr>
                <w:rFonts w:hint="eastAsia" w:ascii="宋体" w:hAnsi="宋体" w:cs="宋体"/>
                <w:b w:val="0"/>
                <w:bCs w:val="0"/>
                <w:lang w:eastAsia="zh-CN"/>
              </w:rPr>
              <w:t>或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UV漆柜门</w:t>
            </w:r>
            <w:r>
              <w:rPr>
                <w:rFonts w:hint="eastAsia" w:ascii="宋体" w:hAnsi="宋体" w:cs="宋体"/>
                <w:b/>
                <w:bCs/>
              </w:rPr>
              <w:t>，</w:t>
            </w:r>
            <w:r>
              <w:rPr>
                <w:rFonts w:hint="eastAsia" w:ascii="宋体" w:hAnsi="宋体" w:cs="宋体"/>
              </w:rPr>
              <w:t>功能特征：环保、防潮、防水、耐酸碱，防冷、防高温、防掉漆。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3.8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功能支架的材料及设计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功能支架需采用优质304不锈钢，</w:t>
            </w:r>
            <w:r>
              <w:rPr>
                <w:rFonts w:hint="eastAsia" w:ascii="宋体" w:hAnsi="宋体" w:cs="宋体"/>
                <w:b w:val="0"/>
                <w:bCs w:val="0"/>
              </w:rPr>
              <w:t>下柜悬空设计</w:t>
            </w:r>
            <w:r>
              <w:rPr>
                <w:rFonts w:hint="eastAsia" w:ascii="宋体" w:hAnsi="宋体" w:cs="宋体"/>
              </w:rPr>
              <w:t>,不形成台下卫生死角，便于清扫，符合院感要求,支架底部安装有优质静音轮并且可移动。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3.9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/>
                <w:b/>
                <w:bCs/>
              </w:rPr>
              <w:t>控制器要求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采用中文液晶显示</w:t>
            </w:r>
            <w:r>
              <w:rPr>
                <w:rFonts w:hint="eastAsia" w:ascii="宋体" w:hAnsi="宋体" w:cs="宋体"/>
              </w:rPr>
              <w:t>,</w:t>
            </w:r>
            <w:r>
              <w:rPr>
                <w:rFonts w:hint="eastAsia" w:ascii="宋体" w:hAnsi="宋体" w:cs="宋体"/>
                <w:lang w:eastAsia="zh-CN"/>
              </w:rPr>
              <w:t>防水</w:t>
            </w:r>
            <w:r>
              <w:rPr>
                <w:rFonts w:hint="eastAsia" w:ascii="宋体" w:hAnsi="宋体" w:cs="宋体"/>
              </w:rPr>
              <w:t>触摸屏操作面板</w:t>
            </w:r>
            <w:r>
              <w:rPr>
                <w:rFonts w:hint="eastAsia"/>
              </w:rPr>
              <w:t>采用隐藏式后置设计，不占用操作空间，一键式操作，方便快捷；</w:t>
            </w:r>
            <w:r>
              <w:rPr>
                <w:rFonts w:hint="eastAsia" w:ascii="宋体" w:hAnsi="宋体" w:cs="宋体"/>
              </w:rPr>
              <w:t>采用微电脑控制系统，各种数据可自行自由设定，</w:t>
            </w:r>
            <w:r>
              <w:rPr>
                <w:rFonts w:hint="eastAsia" w:ascii="宋体" w:hAnsi="宋体" w:cs="宋体"/>
                <w:b w:val="0"/>
                <w:bCs w:val="0"/>
              </w:rPr>
              <w:t>自动累计消毒液的使用次数,</w:t>
            </w:r>
            <w:r>
              <w:rPr>
                <w:rFonts w:hint="eastAsia" w:ascii="宋体" w:hAnsi="宋体" w:cs="宋体"/>
              </w:rPr>
              <w:t>一健启动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/>
              </w:rPr>
              <w:t>控制器可控制灌流时间，调节灌流清洗时间时可通过控制屏按键增加、减少。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>
            <w:pPr>
              <w:rPr>
                <w:rFonts w:ascii="宋体" w:hAnsi="宋体" w:cs="宋体"/>
              </w:rPr>
            </w:pP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多功能自动灌流器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FF"/>
              </w:rPr>
            </w:pP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控制器可控制灌流时间，</w:t>
            </w:r>
            <w:r>
              <w:rPr>
                <w:rFonts w:hint="eastAsia" w:ascii="宋体" w:hAnsi="宋体"/>
                <w:szCs w:val="21"/>
              </w:rPr>
              <w:t>通过微电脑控制器自动完成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注水、注气、吸引</w:t>
            </w:r>
            <w:r>
              <w:rPr>
                <w:rFonts w:hint="eastAsia" w:ascii="宋体" w:hAnsi="宋体"/>
                <w:szCs w:val="21"/>
              </w:rPr>
              <w:t>过程。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在初洗、清洗、末洗严格按《规范》要求，采用洁净的“一次水”灌注，避免二次感染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11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专用空压机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采用静音气泵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 w:ascii="宋体" w:hAnsi="宋体" w:cs="宋体"/>
              </w:rPr>
              <w:t>带有油水分离器的功能，能分离空气中的油污，水分，提高干燥台上干燥气体的清洁度。</w:t>
            </w:r>
            <w:r>
              <w:rPr>
                <w:rFonts w:hint="eastAsia" w:ascii="宋体" w:hAnsi="宋体"/>
                <w:szCs w:val="21"/>
              </w:rPr>
              <w:t>电压：</w:t>
            </w:r>
            <w:r>
              <w:rPr>
                <w:rFonts w:ascii="宋体" w:hAnsi="宋体"/>
                <w:szCs w:val="21"/>
              </w:rPr>
              <w:t>AC220V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50Hz</w:t>
            </w:r>
            <w:r>
              <w:rPr>
                <w:rFonts w:hint="eastAsia" w:ascii="宋体" w:hAnsi="宋体"/>
                <w:szCs w:val="21"/>
              </w:rPr>
              <w:t>，功率：＜</w:t>
            </w:r>
            <w:r>
              <w:rPr>
                <w:rFonts w:ascii="宋体" w:hAnsi="宋体"/>
                <w:szCs w:val="21"/>
              </w:rPr>
              <w:t>600W</w:t>
            </w:r>
            <w:r>
              <w:rPr>
                <w:rFonts w:hint="eastAsia" w:ascii="宋体" w:hAnsi="宋体"/>
                <w:szCs w:val="21"/>
              </w:rPr>
              <w:t>；产气量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≥50</w:t>
            </w:r>
            <w:r>
              <w:rPr>
                <w:rFonts w:ascii="宋体" w:hAnsi="宋体"/>
                <w:szCs w:val="21"/>
              </w:rPr>
              <w:t>L/min</w:t>
            </w:r>
            <w:r>
              <w:rPr>
                <w:rFonts w:hint="eastAsia" w:ascii="宋体" w:hAnsi="宋体"/>
                <w:szCs w:val="21"/>
              </w:rPr>
              <w:t>，最大产气压力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≥</w:t>
            </w:r>
            <w:r>
              <w:rPr>
                <w:rFonts w:ascii="宋体" w:hAnsi="宋体"/>
                <w:szCs w:val="21"/>
              </w:rPr>
              <w:t>0.8 Mpa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12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高压水、气枪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/>
                <w:szCs w:val="21"/>
              </w:rPr>
              <w:t>★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采用优质</w:t>
            </w:r>
            <w:r>
              <w:rPr>
                <w:rFonts w:ascii="宋体" w:hAnsi="宋体"/>
                <w:b/>
                <w:bCs/>
                <w:szCs w:val="21"/>
              </w:rPr>
              <w:t>304#</w:t>
            </w:r>
            <w:r>
              <w:rPr>
                <w:rFonts w:hint="eastAsia" w:ascii="宋体" w:hAnsi="宋体"/>
                <w:b/>
                <w:bCs/>
                <w:szCs w:val="21"/>
              </w:rPr>
              <w:t>全不锈钢材料</w:t>
            </w:r>
            <w:r>
              <w:rPr>
                <w:rFonts w:hint="eastAsia" w:ascii="宋体" w:hAnsi="宋体"/>
                <w:szCs w:val="21"/>
              </w:rPr>
              <w:t>一次性压铸成型，无接缝。耐受压力0-0.8MPa。</w:t>
            </w:r>
            <w:r>
              <w:rPr>
                <w:rFonts w:hint="eastAsia" w:ascii="宋体" w:hAnsi="宋体"/>
                <w:szCs w:val="21"/>
                <w:lang w:eastAsia="zh-CN"/>
              </w:rPr>
              <w:t>提供优质产品。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14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水龙头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选用国际知名品牌陶瓷阀芯和出水嘴的起泡器过滤件，不锈钢水龙头差可360度旋转式设计，有冷热水接口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3.15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供水管路要求：</w:t>
            </w:r>
            <w:r>
              <w:rPr>
                <w:rFonts w:hint="eastAsia"/>
                <w:b w:val="0"/>
                <w:bCs w:val="0"/>
              </w:rPr>
              <w:tab/>
            </w:r>
            <w:r>
              <w:rPr>
                <w:rFonts w:hint="eastAsia"/>
                <w:b w:val="0"/>
                <w:bCs w:val="0"/>
              </w:rPr>
              <w:t>所有给水管采用优质PP-R冷、热水管材和管件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rFonts w:hint="eastAsia"/>
              </w:rPr>
              <w:t xml:space="preserve">符合GB/T 18742.2-2002中PP-R技术要求，具有耐热、耐压、保温节能、使用寿命长等优点，无毒、无锈蚀、永不结垢、不滋生细菌。                                                                                   </w:t>
            </w:r>
            <w:r>
              <w:rPr>
                <w:rFonts w:hint="eastAsia"/>
              </w:rPr>
              <w:tab/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排水系统采用：排水管采用优质PVC-U排水管材和管件，符合GB/T 8804.2-2003要求，与洗消槽连接采用自带密封胶垫螺纹对接拧紧，外形美观，工艺精致，方便搬迁，减少漏水。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3.16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资质要求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内镜清洗工作站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二类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医疗器械注册证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或一类医疗器械备案凭证。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3.17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提供设备配套附件：转运车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内镜柜等。</w:t>
            </w:r>
          </w:p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3.18</w:t>
            </w:r>
          </w:p>
        </w:tc>
        <w:tc>
          <w:tcPr>
            <w:tcW w:w="7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售后服务：整机质保一年。主体设备质保三年。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ind w:firstLine="422" w:firstLineChars="200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四、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547"/>
              </w:tabs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全自动内镜清洗消毒机</w:t>
            </w:r>
            <w:r>
              <w:rPr>
                <w:rFonts w:hint="eastAsia" w:ascii="宋体" w:hAnsi="宋体" w:cs="宋体"/>
                <w:b/>
                <w:bCs/>
              </w:rPr>
              <w:t>详细技术性能指标：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.1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全自动内镜清洗消毒机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双</w:t>
            </w:r>
            <w:r>
              <w:rPr>
                <w:rFonts w:hint="eastAsia" w:ascii="宋体" w:hAnsi="宋体" w:cs="宋体"/>
                <w:szCs w:val="21"/>
              </w:rPr>
              <w:t>缸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.2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设备尺寸：</w:t>
            </w:r>
            <w:r>
              <w:rPr>
                <w:rFonts w:hint="eastAsia" w:ascii="宋体" w:hAnsi="宋体" w:cs="宋体"/>
                <w:szCs w:val="21"/>
              </w:rPr>
              <w:t>≤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1190*900*1060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.3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单缸消毒液储存箱容量≤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2升；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.4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适酶储存箱容量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3升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.5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酒精储存箱容量≤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4.6</w:t>
            </w:r>
            <w:r>
              <w:rPr>
                <w:rFonts w:hint="eastAsia" w:ascii="宋体" w:hAnsi="宋体"/>
                <w:szCs w:val="21"/>
              </w:rPr>
              <w:t>★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消毒液箱、酶液桶、酒精桶，均有低液位自动检测装置，自动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进行声讯</w:t>
            </w:r>
            <w:r>
              <w:rPr>
                <w:rFonts w:hint="eastAsia"/>
                <w:sz w:val="21"/>
                <w:szCs w:val="21"/>
              </w:rPr>
              <w:t>报警提醒。当消毒液达到低液位时设备无法运行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在程序运行中，可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实时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清洗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舱内消毒液浓度是否达标进行检测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自动记录消毒液使用情况，既可设置消毒液使用次数，又可同时设置消毒液使用天数，两种方式可同时监控，消毒液过期自动报警。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设备可使用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规定的多种消毒液：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戊二醛、邻苯二甲醛、二氧化氯、过氧乙酸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不少于两种消毒剂的枯草杆菌黑色变种芽孢的杀灭对数值≥3.0消毒效果(可提供检查报告)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具有消毒液取样功能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适酶用量：可按照使用需求自行设置每次酶液喷出容量；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4.8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酒精用量：可依用户要求装机时设置自动喷射内镜管道并吹干；具备自动与手动酒精干燥。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4.9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配备排水装置：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一键式控制，自动排水。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4.10</w:t>
            </w:r>
            <w:r>
              <w:rPr>
                <w:rFonts w:hint="eastAsia" w:ascii="宋体" w:hAnsi="宋体"/>
                <w:szCs w:val="21"/>
              </w:rPr>
              <w:t>★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配备测漏装置：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配备侧漏装置，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全程实施测漏监控，漏气报警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4.11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清洗消毒方式：镜子须全浸泡式循环清洗消毒，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旋转喷淋清洗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具有消毒次数记录：每完成一次清洗消毒流程，屏上有记录提示；液晶显示屏可以在线显示消毒液的实时温度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4.13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消毒质量保证：消毒液不足和机器有故障自动报警，并显示故障内容；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4.14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消毒液添加、排放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自吸、自排；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自身消毒：采用消毒液可对机器内部全管道、腔体、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浸泡消毒，可定期进行自身消毒或出现阳性病人时的自身消毒处理；一键式触摸启动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4.16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具备电动开盖和电动关盖功能，避免手动开盖、关盖后拿取内镜时产生二次污染。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4.17</w:t>
            </w: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售后服务：整机质保一年。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5YTJiMGMwOGNhMDUwM2QxNjllZjUxMGJhNDEwZjgifQ=="/>
  </w:docVars>
  <w:rsids>
    <w:rsidRoot w:val="00AB075C"/>
    <w:rsid w:val="00030678"/>
    <w:rsid w:val="0006577A"/>
    <w:rsid w:val="000B7311"/>
    <w:rsid w:val="001328E5"/>
    <w:rsid w:val="00191697"/>
    <w:rsid w:val="001A2DEC"/>
    <w:rsid w:val="001B3A28"/>
    <w:rsid w:val="001E0619"/>
    <w:rsid w:val="00207611"/>
    <w:rsid w:val="00224791"/>
    <w:rsid w:val="00235AA9"/>
    <w:rsid w:val="00244653"/>
    <w:rsid w:val="00246C22"/>
    <w:rsid w:val="00252B24"/>
    <w:rsid w:val="002835AF"/>
    <w:rsid w:val="00287D20"/>
    <w:rsid w:val="002D01E2"/>
    <w:rsid w:val="002D5987"/>
    <w:rsid w:val="002D6EA0"/>
    <w:rsid w:val="00300746"/>
    <w:rsid w:val="003734E6"/>
    <w:rsid w:val="003B2D00"/>
    <w:rsid w:val="003D1EB0"/>
    <w:rsid w:val="004507F0"/>
    <w:rsid w:val="00450E83"/>
    <w:rsid w:val="0048354E"/>
    <w:rsid w:val="004F1D54"/>
    <w:rsid w:val="005338FE"/>
    <w:rsid w:val="0053742C"/>
    <w:rsid w:val="00576DCC"/>
    <w:rsid w:val="005F4218"/>
    <w:rsid w:val="006065A9"/>
    <w:rsid w:val="006172BE"/>
    <w:rsid w:val="00626545"/>
    <w:rsid w:val="00630A0C"/>
    <w:rsid w:val="00647852"/>
    <w:rsid w:val="00681949"/>
    <w:rsid w:val="007011BB"/>
    <w:rsid w:val="00704DD0"/>
    <w:rsid w:val="00764E50"/>
    <w:rsid w:val="0077135C"/>
    <w:rsid w:val="007B14F0"/>
    <w:rsid w:val="00842A53"/>
    <w:rsid w:val="008D26BE"/>
    <w:rsid w:val="008D5BDB"/>
    <w:rsid w:val="00922648"/>
    <w:rsid w:val="00950801"/>
    <w:rsid w:val="00977E45"/>
    <w:rsid w:val="009C7CE9"/>
    <w:rsid w:val="00A436D7"/>
    <w:rsid w:val="00A6353F"/>
    <w:rsid w:val="00A87B61"/>
    <w:rsid w:val="00A94960"/>
    <w:rsid w:val="00AA085B"/>
    <w:rsid w:val="00AB075C"/>
    <w:rsid w:val="00AD30CC"/>
    <w:rsid w:val="00AE0EE9"/>
    <w:rsid w:val="00B03A89"/>
    <w:rsid w:val="00B07B23"/>
    <w:rsid w:val="00B2228E"/>
    <w:rsid w:val="00B33F88"/>
    <w:rsid w:val="00B63100"/>
    <w:rsid w:val="00BA6ED4"/>
    <w:rsid w:val="00BE38F1"/>
    <w:rsid w:val="00BE79DA"/>
    <w:rsid w:val="00C40A43"/>
    <w:rsid w:val="00C739A8"/>
    <w:rsid w:val="00C758A6"/>
    <w:rsid w:val="00C75D52"/>
    <w:rsid w:val="00CB46B6"/>
    <w:rsid w:val="00CC1474"/>
    <w:rsid w:val="00CC1F3D"/>
    <w:rsid w:val="00CC7E19"/>
    <w:rsid w:val="00D2318B"/>
    <w:rsid w:val="00D32A4F"/>
    <w:rsid w:val="00D4474E"/>
    <w:rsid w:val="00D6737A"/>
    <w:rsid w:val="00DD30D2"/>
    <w:rsid w:val="00DF5E76"/>
    <w:rsid w:val="00E06E63"/>
    <w:rsid w:val="00E1511B"/>
    <w:rsid w:val="00E46329"/>
    <w:rsid w:val="00E85ADF"/>
    <w:rsid w:val="00EA7F9F"/>
    <w:rsid w:val="00ED1B99"/>
    <w:rsid w:val="00F00B65"/>
    <w:rsid w:val="00F21646"/>
    <w:rsid w:val="00F239B2"/>
    <w:rsid w:val="00F26022"/>
    <w:rsid w:val="00F35E88"/>
    <w:rsid w:val="00FE4179"/>
    <w:rsid w:val="01AD63C8"/>
    <w:rsid w:val="0AFC15E8"/>
    <w:rsid w:val="0C8E7A59"/>
    <w:rsid w:val="0F754DE2"/>
    <w:rsid w:val="0F977B31"/>
    <w:rsid w:val="0FDC5544"/>
    <w:rsid w:val="103C6910"/>
    <w:rsid w:val="13D65DDA"/>
    <w:rsid w:val="141F6347"/>
    <w:rsid w:val="1B100FEF"/>
    <w:rsid w:val="1C03438B"/>
    <w:rsid w:val="1C5B2869"/>
    <w:rsid w:val="1C86294A"/>
    <w:rsid w:val="1D460049"/>
    <w:rsid w:val="1E303323"/>
    <w:rsid w:val="20F52909"/>
    <w:rsid w:val="2107263D"/>
    <w:rsid w:val="21542131"/>
    <w:rsid w:val="228C2DF9"/>
    <w:rsid w:val="248C35DF"/>
    <w:rsid w:val="2B7D59D5"/>
    <w:rsid w:val="2CEF2903"/>
    <w:rsid w:val="329A793C"/>
    <w:rsid w:val="33FA6E8F"/>
    <w:rsid w:val="38872720"/>
    <w:rsid w:val="39AB1959"/>
    <w:rsid w:val="3DDE235C"/>
    <w:rsid w:val="3F983C43"/>
    <w:rsid w:val="41607719"/>
    <w:rsid w:val="41824E16"/>
    <w:rsid w:val="431E2174"/>
    <w:rsid w:val="43F84AC2"/>
    <w:rsid w:val="472A18BE"/>
    <w:rsid w:val="4C352AFB"/>
    <w:rsid w:val="4C5229A6"/>
    <w:rsid w:val="4DC31516"/>
    <w:rsid w:val="50885559"/>
    <w:rsid w:val="5242446F"/>
    <w:rsid w:val="528F2EEC"/>
    <w:rsid w:val="53216D7F"/>
    <w:rsid w:val="58591C4C"/>
    <w:rsid w:val="5BA65FD3"/>
    <w:rsid w:val="5D26561D"/>
    <w:rsid w:val="5D3037E4"/>
    <w:rsid w:val="605129B1"/>
    <w:rsid w:val="628F77C1"/>
    <w:rsid w:val="63003B61"/>
    <w:rsid w:val="671A6116"/>
    <w:rsid w:val="6E0C6169"/>
    <w:rsid w:val="761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  <w:lang w:val="zh-TW" w:eastAsia="zh-TW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2274</Words>
  <Characters>2480</Characters>
  <Lines>30</Lines>
  <Paragraphs>8</Paragraphs>
  <TotalTime>13</TotalTime>
  <ScaleCrop>false</ScaleCrop>
  <LinksUpToDate>false</LinksUpToDate>
  <CharactersWithSpaces>2591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2020-07-27T00:50:00Z</dcterms:created>
  <dc:creator>thinkpad</dc:creator>
  <cp:lastModifiedBy>Administrator</cp:lastModifiedBy>
  <dcterms:modified xsi:type="dcterms:W3CDTF">2023-04-03T23:43:16Z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DE28DA1939704CEF8F8F954EE7258029</vt:lpwstr>
  </property>
</Properties>
</file>